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连云港师范高等专科学校大学生日常行为规范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思想表现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以习近平新时代中国特色社会主义思想为指导，拥护党的基本路线、方针、政策，树立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“四个意识”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，坚定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“四个自信”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做到“两个维护”；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主动关心时事政治。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热爱祖国和人民，弘扬民族精神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和时代精神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，维护国家安全、社会安定、民族团结。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努力学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习中国特色社会主义理论体系，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自觉将个人的奋斗目标融入中华民族伟大复兴的中国梦。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自觉遵守国家法律法规、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社会公序良俗、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校规校纪，恪守校训，维护学校、集体的荣誉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利益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和稳定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校园行为规范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尊敬国旗、国徽；升国旗、奏唱国歌时要肃立、脱帽、行注目礼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不参与任何有损国家尊严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、安全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和利益的活动。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仪表整洁得体，符合学生身份，不穿着奇装异服、不穿着暴露、不理光头、不留胡子、不纹身等，不穿着睡衣、拖鞋出行。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举止有礼，谈吐文明，使用礼貌用语，不污言秽语。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尊师重教，礼敬师长，学生应主动向老师打招呼，进办公室应先敲门，经老师允许后方可入内。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异性交往言语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得当，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举止文明端庄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，相处有度。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自觉维护校园环境卫生和校容校貌，爱护学校的一草一木，不折花，不践踏草坪，不乱扔垃圾；爱护公物，保护公共设施，不乱贴乱画，不乱泼乱倒。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保持校内环境的安静，不大声喧哗，不在教学区、办公区、宿舍区内进行影响师生工作、学习和休息的体育、文娱活动。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健康文明生活，不吸烟、不酗酒、不赌博、不打架斗殴，不购买、出借、传阅非法书刊、图片、音像制品、影音文件等；不随意张贴小广告；不违规推销商品。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课堂行为规范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自觉维护教学秩序，遵守学校纪律，不迟到、早退、旷课或扰乱课堂秩序；因病、因事不能上课的，事先请假。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上课时仪容整洁，衣着得体，不穿睡衣、拖鞋进入教室。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提前10分钟到达教室，做好上课准备；若迟到，应先报告，老师允许后再进入教室。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遵守课堂纪律，专心听讲，积极思考，不做与课程无关的事。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课堂上不发出噪音，手机等电子设备应关闭或设为静音。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对教室的教具、设备加以爱护，不随便移动，更不恶意损坏；不在课桌、门窗、墙壁等处乱刻乱涂乱写。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保持教室内外清洁，不随地吐痰、不乱扔垃圾杂物，不将食物带入教学场所。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课程结束，离开教室时随手关闭教学仪器、关灯、关门。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宿舍行为规范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自觉遵守宿舍管理规章制度，服从统一管理，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理解、支持、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配合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公寓管理人员、班主任、辅导员的管理、检查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widowControl/>
        <w:numPr>
          <w:ilvl w:val="0"/>
          <w:numId w:val="5"/>
        </w:numPr>
        <w:spacing w:line="300" w:lineRule="auto"/>
        <w:ind w:firstLine="480"/>
        <w:jc w:val="left"/>
        <w:rPr>
          <w:rFonts w:ascii="仿宋_GB2312" w:hAnsi="Tahoma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按时起床，按时熄灯就寝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eastAsia="zh-CN" w:bidi="ar"/>
        </w:rPr>
        <w:t>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不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夜不归宿，不晚归，保证正常的生活、学习秩序。</w:t>
      </w:r>
    </w:p>
    <w:p>
      <w:pPr>
        <w:widowControl/>
        <w:numPr>
          <w:ilvl w:val="0"/>
          <w:numId w:val="5"/>
        </w:numPr>
        <w:spacing w:line="300" w:lineRule="auto"/>
        <w:ind w:firstLine="480" w:firstLineChars="200"/>
        <w:jc w:val="left"/>
        <w:rPr>
          <w:rFonts w:ascii="仿宋_GB2312" w:hAnsi="Tahoma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不私自调换、私占、出借、转让床位等，不留宿非本宿舍人员。</w:t>
      </w:r>
    </w:p>
    <w:p>
      <w:pPr>
        <w:widowControl/>
        <w:numPr>
          <w:ilvl w:val="0"/>
          <w:numId w:val="5"/>
        </w:numPr>
        <w:spacing w:line="300" w:lineRule="auto"/>
        <w:ind w:firstLine="480" w:firstLineChars="200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舍友间互相尊重，互相包容，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不在宿舍区喧哗、打闹，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不影响他人休息，维护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形成良好的人际关系氛围。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color w:val="auto"/>
          <w:kern w:val="0"/>
          <w:sz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不存放、使用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违章电器，不私拉乱接电源，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不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存放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各类管制刀具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或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易燃易爆物品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eastAsia="zh-CN" w:bidi="ar"/>
        </w:rPr>
        <w:t>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不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在宿舍楼内焚烧物品。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养成良好的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卫生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习惯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eastAsia="zh-CN" w:bidi="ar"/>
        </w:rPr>
        <w:t>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个人物品整理整齐，不在宿舍内堆放杂物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或喂养小动物，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及时清理清倒垃圾，不乱扔废弃物或乱倒污水。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color w:val="auto"/>
          <w:kern w:val="0"/>
          <w:sz w:val="24"/>
          <w:lang w:val="en-US" w:eastAsia="zh-CN" w:bidi="ar"/>
        </w:rPr>
      </w:pPr>
      <w:r>
        <w:rPr>
          <w:rFonts w:hint="default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合理使用、妥善保护宿舍楼内的设施、设备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，不</w:t>
      </w:r>
      <w:r>
        <w:rPr>
          <w:rFonts w:hint="default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自行拆改、破坏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、移动</w:t>
      </w:r>
      <w:r>
        <w:rPr>
          <w:rFonts w:hint="default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增强自我防范意识，休息或外出时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fldChar w:fldCharType="begin"/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instrText xml:space="preserve"> HYPERLINK "http://baike.baidu.com/view/104037.htm" \t "https://www.gsysyj.org/xsc/info/1105/_blank" </w:instrTex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fldChar w:fldCharType="separate"/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锁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fldChar w:fldCharType="end"/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好门窗；在公共区域内不穿着暴露；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离开宿舍时关闭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水源和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bidi="ar"/>
        </w:rPr>
        <w:t>电源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eastAsia="zh-CN" w:bidi="ar"/>
        </w:rPr>
        <w:t>；</w:t>
      </w:r>
      <w:r>
        <w:rPr>
          <w:rFonts w:hint="eastAsia" w:ascii="仿宋_GB2312" w:hAnsi="Tahoma" w:eastAsia="仿宋_GB2312" w:cs="仿宋_GB2312"/>
          <w:color w:val="auto"/>
          <w:kern w:val="0"/>
          <w:sz w:val="24"/>
          <w:lang w:val="en-US" w:eastAsia="zh-CN" w:bidi="ar"/>
        </w:rPr>
        <w:t>积极发现安全隐患并及时报修；发现可疑人员立即询问、报告。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食堂行为规范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文明就餐，自动排队，不夹塞，不拥挤。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就餐时保持安静，不大声喧哗，不脚踏椅凳。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科学饮食，讲究卫生，厉行节约，反对浪费。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餐后将剩饭剩菜倒进指定容器，将餐具送回指定地点，配合工作人员管理。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不饮酒、吸烟、聚众打牌，不携带酒精类饮品进入食堂。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图书馆行为规范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自觉维护图书馆内环境及秩序，保持安静整洁，不在馆内喧哗、朗读、大声接打电话，做到读者静、手机静。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举止文明，不穿睡衣、拖鞋等入馆，不在座位上躺卧休息、打闹嬉戏。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不携带食物入馆，不随意丢弃垃圾，离馆时带走个人物品和垃圾，维护馆内卫生整洁。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合理利用公共资源，不以任何形式为个人及他人占座。按照桌椅摆放位置入座，不随意搬动桌椅至别处。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自觉爱护图书，借阅图书时不乱翻乱扔、不乱写乱画，阅后及时放回原处；不同时占用多本杂志，以免妨碍其他同学借阅。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网络行为规范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遵守相关法律规定，不利用网络从事违法犯罪行为。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遵守网络文明公约，文明用网，绿色上网，自觉抵制有害网站和不良信息。不散布、传播谣言，不浏览、发布不良信息，不网暴、侮辱、诽谤他人，不侵犯他人的合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法权益。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不制作、传播网络病毒，不非法侵入网络信息系统，自觉维护公共信息和网络安全。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正确运用网络资源，善于网上学习，不沉溺网络游戏和不良传播内容。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增强自我保护意识，不在网上公开个人资料，不随意约见网友，不参加无益身心健康的网络活动。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会议、文体活动行为规范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仪表大方，仪容整洁，符合会议或活动要求。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准时参加会议或活动，不迟到、不早退、不无故缺席。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会议期间关掉或静音手机和其它通讯工具；因故迟到或中途出场时动作要轻，以免影响他人。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自觉维护会场秩序，服从指挥，遵守纪律，认真听讲；爱护公共设施，保持会场清洁卫生。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赛事过程中尊重规则、尊重裁判、尊重对手、尊重观众。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合理选择时间地点进行娱乐活动，活动有度，不影响他人休息。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会议或活动结束后，有秩序离场，不抢先、拥挤。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FA300"/>
    <w:multiLevelType w:val="singleLevel"/>
    <w:tmpl w:val="80CFA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F24CEA"/>
    <w:multiLevelType w:val="singleLevel"/>
    <w:tmpl w:val="8EF24C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8B6D05"/>
    <w:multiLevelType w:val="singleLevel"/>
    <w:tmpl w:val="C18B6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7C48F4"/>
    <w:multiLevelType w:val="singleLevel"/>
    <w:tmpl w:val="C57C4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7F0A0B"/>
    <w:multiLevelType w:val="singleLevel"/>
    <w:tmpl w:val="C77F0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5BBFE1"/>
    <w:multiLevelType w:val="singleLevel"/>
    <w:tmpl w:val="CF5BBF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148F890"/>
    <w:multiLevelType w:val="singleLevel"/>
    <w:tmpl w:val="2148F8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B2700BF"/>
    <w:multiLevelType w:val="singleLevel"/>
    <w:tmpl w:val="2B2700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9ACBE4A"/>
    <w:multiLevelType w:val="singleLevel"/>
    <w:tmpl w:val="49ACBE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6D6D1092"/>
    <w:rsid w:val="01BF37C7"/>
    <w:rsid w:val="02D92666"/>
    <w:rsid w:val="042D55D6"/>
    <w:rsid w:val="06404E6C"/>
    <w:rsid w:val="0655382A"/>
    <w:rsid w:val="0678717E"/>
    <w:rsid w:val="06810799"/>
    <w:rsid w:val="08061024"/>
    <w:rsid w:val="0BE81373"/>
    <w:rsid w:val="0CAD7850"/>
    <w:rsid w:val="0D85325A"/>
    <w:rsid w:val="0F8D3760"/>
    <w:rsid w:val="100575EB"/>
    <w:rsid w:val="15C27708"/>
    <w:rsid w:val="1789364A"/>
    <w:rsid w:val="17BA5401"/>
    <w:rsid w:val="1D632632"/>
    <w:rsid w:val="261D5950"/>
    <w:rsid w:val="27A055A4"/>
    <w:rsid w:val="28D01AE9"/>
    <w:rsid w:val="28F33BD2"/>
    <w:rsid w:val="29B96230"/>
    <w:rsid w:val="29CB5BAE"/>
    <w:rsid w:val="2DD64D89"/>
    <w:rsid w:val="2E3A6E93"/>
    <w:rsid w:val="31404CE4"/>
    <w:rsid w:val="32BB6DE3"/>
    <w:rsid w:val="32EC3440"/>
    <w:rsid w:val="33534897"/>
    <w:rsid w:val="33EE62FB"/>
    <w:rsid w:val="34C058B0"/>
    <w:rsid w:val="34CE1D3E"/>
    <w:rsid w:val="39984F4F"/>
    <w:rsid w:val="3BCF0A25"/>
    <w:rsid w:val="3E164F3A"/>
    <w:rsid w:val="3F13277C"/>
    <w:rsid w:val="40375258"/>
    <w:rsid w:val="40647BE8"/>
    <w:rsid w:val="43F60468"/>
    <w:rsid w:val="44AF66D2"/>
    <w:rsid w:val="45F01617"/>
    <w:rsid w:val="47523949"/>
    <w:rsid w:val="47665118"/>
    <w:rsid w:val="49957394"/>
    <w:rsid w:val="4A9753A6"/>
    <w:rsid w:val="4AE049E1"/>
    <w:rsid w:val="4F2E3D73"/>
    <w:rsid w:val="4FAA119C"/>
    <w:rsid w:val="50E2736D"/>
    <w:rsid w:val="53FE0F12"/>
    <w:rsid w:val="55085B66"/>
    <w:rsid w:val="55C81AA9"/>
    <w:rsid w:val="56C259A9"/>
    <w:rsid w:val="592926AC"/>
    <w:rsid w:val="5969278C"/>
    <w:rsid w:val="5B903A7C"/>
    <w:rsid w:val="5D3B795D"/>
    <w:rsid w:val="61DF464A"/>
    <w:rsid w:val="65F66081"/>
    <w:rsid w:val="6C0E2E96"/>
    <w:rsid w:val="6C9E1786"/>
    <w:rsid w:val="6D6D1092"/>
    <w:rsid w:val="6E4153B1"/>
    <w:rsid w:val="6F734A7A"/>
    <w:rsid w:val="72477770"/>
    <w:rsid w:val="72F378F8"/>
    <w:rsid w:val="7379604F"/>
    <w:rsid w:val="764321D4"/>
    <w:rsid w:val="77C43611"/>
    <w:rsid w:val="781520BE"/>
    <w:rsid w:val="78C80EDF"/>
    <w:rsid w:val="793A041E"/>
    <w:rsid w:val="79C91175"/>
    <w:rsid w:val="7FB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Calibri Light" w:hAnsi="Calibri Light" w:eastAsia="楷体" w:cs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2024</Words>
  <Characters>2025</Characters>
  <Lines>0</Lines>
  <Paragraphs>0</Paragraphs>
  <TotalTime>44</TotalTime>
  <ScaleCrop>false</ScaleCrop>
  <LinksUpToDate>false</LinksUpToDate>
  <CharactersWithSpaces>2025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2023-02-19T02:47:00Z</dcterms:created>
  <dc:creator>饺子大王</dc:creator>
  <cp:lastModifiedBy>Monet in Moonlight</cp:lastModifiedBy>
  <cp:lastPrinted>2023-03-14T00:14:00Z</cp:lastPrinted>
  <dcterms:modified xsi:type="dcterms:W3CDTF">2023-03-27T06:21:43Z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97C2719E0C64478B9B507FBFB351C666</vt:lpwstr>
  </property>
</Properties>
</file>